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136</w:t>
      </w:r>
    </w:p>
    <w:p>
      <w:r>
        <w:t>Bundesgericht (BGE), 1969-05-02, FR</w:t>
      </w:r>
    </w:p>
    <w:p>
      <w:r>
        <w:rPr>
          <w:b/>
        </w:rPr>
        <w:t xml:space="preserve">Quelle: </w:t>
      </w:r>
      <w:r>
        <w:t>https://mcp.opencaselaw.ch/entscheid/bge_95 IV 136</w:t>
      </w:r>
    </w:p>
    <w:p>
      <w:r>
        <w:t>FR: ATF 95 IV 136</w:t>
      </w:r>
    </w:p>
    <w:p>
      <w:r>
        <w:t>IT: DTF 95 IV 136</w:t>
      </w:r>
    </w:p>
    <w:p>
      <w:pPr>
        <w:pStyle w:val="Heading2"/>
      </w:pPr>
      <w:r>
        <w:t>Regeste</w:t>
      </w:r>
    </w:p>
    <w:p>
      <w:r>
        <w:t>Regeste Vortritt von rechts. 1. Diese Regel ist nur auf Fahrzeuge anwendbar, deren Fahrbahnen sich notwendig schneiden. 2. Im allgemeinen verliert der Berechtigte das Vortrittsrecht nicht schon dadurch, dass er aus Vorsicht einen Halt einschaltet. - Rechte und Pflichten, die der Vortrittsbelastete diesfalls hat. 3. Pflichten des vortrittsberechtigten Fahrers.</w:t>
      </w:r>
    </w:p>
    <w:p>
      <w:pPr>
        <w:pStyle w:val="Heading2"/>
      </w:pPr>
      <w:r>
        <w:t>Erwägungen</w:t>
      </w:r>
    </w:p>
    <w:p>
      <w:r>
        <w:rPr>
          <w:b/>
        </w:rPr>
        <w:t>E. 1</w:t>
      </w:r>
    </w:p>
    <w:p>
      <w:r>
        <w:t>Aucun signal ne dérogeait à la priorité de droite pour l'intersection où l'accident s'est produit. Par rapport à Sunier, qui entendait poursuivre sa route vers Lamboing - et non pas bifurquer vers Douanne - Yvonne Bajan venait de droite et les trajectoires des deux voitures se coupaient nécessairement, de sorte que la seconde bénéficiait de la priorité par rapport au premier (art. 36 al. 2 LCR; RO 93 IV 106). Le recourant ne le conteste pas, mais allègue que, dès lors qu'elle avait marqué un temps d'arrêt, elle devait céder le passage. Sous l'empire de l'ancienne loi sur la circulation des véhicules automobiles et des cycles déjà, la cour de céans avait jugé que le bénéficiaire de la priorité ne perdait pas son droit du fait que, par mesure de sécurité, il marquait un temps d'arrêt avant de s'engager sur l'aire de l'intersection (RO 85 IV 39; 90 IV 38 ). Il ne saurait en aller autrement sous l'empire de la nouvelle loi du 19 décembre 1958; en principe, le conducteur qui bénéficie de la priorité ne perd pas son droit du simple fait qu'il s'arrête avant de l'exercer, soit pour BGE 95 IV 136 S. 138 s'assurer qu'aucun véhicule ne vient de droite, soit pour laisser passer de tels véhicules. Celui qui vient de gauche n'est pas fondé à conclure, du seul arrêt, à une renonciation au passage par priorité, à moins que des circonstances spéciales ne rendent cette renonciation manifeste (par exemple lorsque l'autre conducteur arrêté invite clairement au passage par un geste de la main). Il peut, certes, s'avancer aussi longtemps que le véhicule prioritaire demeure à l'arrêt, mais il n'est fondé à le faire qu'à une allure réduite, de sorte qu'il puisse s'arrêter en cas de besoin. L'autre conserve en principe son droit de priorité, mais ne doit pas s'avancer brusquement lorsque le premier, bien qu'il ait ralenti suffisamment, ne peut néanmoins plus s'arrêter à temps. La situation est différente lorsque la priorité de droite est supprimée, soit par un signal "cédez le passage" (no 116), soit par un signal "stop" (no 217) et que le conducteur venant de gauche le sait. Dans la présente espèce, Yvonne Bajan, qui avait la priorité de passage, s'est arrêtée avant de s'engager sur l'aire de l'intersection. Sans doute a-t-elle regardé tout d'abord à gauche puis à droite, mais Sunier n'était nullement fondé à en conclure qu'elle lui cédait le passage et à accélérer à nouveau. Car le comportement de la conductrice prioritaire était normal et même nécessaire alors même qu'elle entendait exercer son droit de priorité par rapport à celui qui vient de gauche. En effet, dans un tel cas, le conducteur doit s'assurer d'abord que, de ce côté, les véhicules qui surviennent peuvent lui accorder le passage, ce qui était le cas de Sunier (RO 90 IV 90 ss.; 92 IV 139 ). Il doit ensuite vérifier s'il est tenu de céder le passage du côté droit. Sunier devait donc ralentir encore et se tenir prêt à céder le passage. Il a manifestement violé cette obligation.</w:t>
      </w:r>
    </w:p>
    <w:p>
      <w:r>
        <w:rPr>
          <w:b/>
        </w:rPr>
        <w:t>E. 2</w:t>
      </w:r>
    </w:p>
    <w:p>
      <w:r>
        <w:t>Dans la mesure où son argumentation tend à établir une faute à la charge d'Yvonne Bajan, elle est vaine, car, supposé même que cette faute existe, la sienne n'en devrait pas moins être retenue.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